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ECB6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66EB06D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7F7302CF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7A3FCEC2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016CAB69" w14:textId="77777777" w:rsidR="006329DB" w:rsidRDefault="006329DB" w:rsidP="000833B2">
      <w:pPr>
        <w:rPr>
          <w:rFonts w:ascii="Arial" w:hAnsi="Arial" w:cs="Arial"/>
          <w:b/>
          <w:sz w:val="36"/>
          <w:szCs w:val="36"/>
        </w:rPr>
      </w:pPr>
    </w:p>
    <w:p w14:paraId="40F88A20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19D7C332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056824BE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07563CC2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126586A4" w14:textId="77777777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 </w:t>
      </w:r>
    </w:p>
    <w:p w14:paraId="5BEB02D7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61D8D3F6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564866BF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329A9A2F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7019CD05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8DB31C1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C10732E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E1FA326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3EC2B0F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E0BA422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FA4933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7B100F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3C7F0F53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17BA5D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F95F5E9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707A62A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B7E6DC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C4640EF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E360257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904A4A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22CE3AC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2F270AE3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7D9724C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3C027A31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1D40E7">
        <w:rPr>
          <w:rFonts w:ascii="Arial" w:eastAsia="TimesNewRoman" w:hAnsi="Arial" w:cs="Arial"/>
          <w:sz w:val="24"/>
          <w:szCs w:val="24"/>
        </w:rPr>
        <w:t>lip</w:t>
      </w:r>
      <w:r w:rsidR="009B10F7">
        <w:rPr>
          <w:rFonts w:ascii="Arial" w:eastAsia="TimesNewRoman" w:hAnsi="Arial" w:cs="Arial"/>
          <w:sz w:val="24"/>
          <w:szCs w:val="24"/>
        </w:rPr>
        <w:t>iec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46168690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69351734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34C81E60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7C4225B5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10AD92FC" w14:textId="77777777" w:rsidR="00551160" w:rsidRDefault="00551160">
      <w:pPr>
        <w:rPr>
          <w:rFonts w:ascii="Arial" w:hAnsi="Arial" w:cs="Arial"/>
        </w:rPr>
      </w:pPr>
    </w:p>
    <w:p w14:paraId="6DEC7555" w14:textId="77777777" w:rsidR="009B10F7" w:rsidRDefault="009B10F7">
      <w:pPr>
        <w:rPr>
          <w:rFonts w:ascii="Arial" w:hAnsi="Arial" w:cs="Arial"/>
        </w:rPr>
      </w:pPr>
    </w:p>
    <w:p w14:paraId="235E2907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58C1CA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0F50D3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283893F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4F8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0716A4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C41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2CFF6330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5C8CFFA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17C049C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477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C7E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3490A1E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0F0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BC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6AC573B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02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A4B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251A897D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1E8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D05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73CB3E2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B6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D035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3407D4CD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EB4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0ED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12E0B1F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98D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085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791DBFE2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520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08F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7D9DCBF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B5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296D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3BC131BC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04765F9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3CE" w14:textId="3C4963E0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7500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7375F978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D3A1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9CB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2671B69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240144C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692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E10D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110C6812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660ED576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9C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Robocza Baza 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60C6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Baza danych zgodnie z definicją określoną w rozporządzeniu w sprawie</w:t>
            </w:r>
          </w:p>
          <w:p w14:paraId="7E117F51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standardów  odpowiadająca  zakresem  treści  przedmiotowi  pracy</w:t>
            </w:r>
          </w:p>
          <w:p w14:paraId="004E3C24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465F257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27A33F88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00A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52EDB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13E4885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22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8E3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7E837320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61A0473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32D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5082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05A2CC3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251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3BD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6A69DF7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3B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FCFA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3A2CF96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61EBD1A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87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AA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2ED66CC7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7317CCDB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731AE118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93A5984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7E890A45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6A5BF9CA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utworzenie bazy danych obiektów topograficznych o szczegółowości zapewniającej tworzenie standardowych opracowań kartograficznych  w skalach 1:500 – 1:5000 - BDOT500, o której mowa w art. 4 ust. 1b,1ba ustawy;</w:t>
      </w:r>
    </w:p>
    <w:p w14:paraId="658ABCFB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1680DA07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68390725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6ED41704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5983E8F7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348D36F4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288205B6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1F21CD25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lastRenderedPageBreak/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6EC7B67E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7EB0E67F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63879789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63CD5748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579A504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5607906F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7B3CD2D4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rady ministrów z dnia 12 kwietnia 2012 r. w sprawie Krajowych Ram Interoperacyjności, minimalnych wymagań dla rejestrów publicznych i </w:t>
      </w:r>
      <w:proofErr w:type="spellStart"/>
      <w:r w:rsidRPr="002D2B9D">
        <w:rPr>
          <w:rFonts w:ascii="Arial" w:hAnsi="Arial" w:cs="Arial"/>
        </w:rPr>
        <w:t>wymianyinformacji</w:t>
      </w:r>
      <w:proofErr w:type="spellEnd"/>
      <w:r w:rsidRPr="002D2B9D">
        <w:rPr>
          <w:rFonts w:ascii="Arial" w:hAnsi="Arial" w:cs="Arial"/>
        </w:rPr>
        <w:t xml:space="preserve">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67710D6B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771CAC31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2206CA57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798D2CDD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37FF2281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51DB9165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6F65A40F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2953C185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0D33DEB7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19F3CC54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38F26EAF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478D03F1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07DD22A0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49860115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34E45BDF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37A53A4D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58BA6FF7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03664853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05F159B8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170B98DA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32F38EBB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44B763DD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A7EFD83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04D05778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7B85802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06150E29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70CCEEAB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0ED03AC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1FB2802E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1DEC1C03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05FB6005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79F4F23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21273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221273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221273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221273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221273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221273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 w:rsidRPr="00221273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221273">
        <w:rPr>
          <w:rFonts w:ascii="Arial" w:hAnsi="Arial" w:cs="Arial"/>
          <w:color w:val="auto"/>
          <w:sz w:val="22"/>
          <w:szCs w:val="22"/>
        </w:rPr>
        <w:t xml:space="preserve">przystąpienia do realizacji zamówienia </w:t>
      </w:r>
      <w:r w:rsidR="00AF504E" w:rsidRPr="00221273">
        <w:rPr>
          <w:rFonts w:ascii="Arial" w:hAnsi="Arial" w:cs="Arial"/>
          <w:color w:val="auto"/>
          <w:sz w:val="22"/>
          <w:szCs w:val="22"/>
        </w:rPr>
        <w:t>.</w:t>
      </w:r>
      <w:r w:rsidR="00B72AE8" w:rsidRPr="00221273">
        <w:rPr>
          <w:rFonts w:ascii="Arial" w:hAnsi="Arial" w:cs="Arial"/>
          <w:color w:val="auto"/>
          <w:sz w:val="22"/>
          <w:szCs w:val="22"/>
        </w:rPr>
        <w:t xml:space="preserve"> </w:t>
      </w:r>
      <w:r w:rsidRPr="00221273">
        <w:rPr>
          <w:rFonts w:ascii="Arial" w:hAnsi="Arial" w:cs="Arial"/>
          <w:color w:val="auto"/>
          <w:sz w:val="22"/>
          <w:szCs w:val="22"/>
        </w:rPr>
        <w:t>Zbiory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55ABAD18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61C5CD4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792210C5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AEA5B04" w14:textId="46655B4C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niezbędne do realizacji przedmiotu zamówienia</w:t>
      </w:r>
      <w:r w:rsidR="00AA6495">
        <w:rPr>
          <w:rFonts w:ascii="Arial" w:hAnsi="Arial" w:cs="Arial"/>
          <w:color w:val="auto"/>
          <w:sz w:val="22"/>
          <w:szCs w:val="22"/>
        </w:rPr>
        <w:t>,</w:t>
      </w:r>
      <w:r w:rsidR="00ED005E">
        <w:rPr>
          <w:rFonts w:ascii="Arial" w:hAnsi="Arial" w:cs="Arial"/>
          <w:color w:val="auto"/>
          <w:sz w:val="22"/>
          <w:szCs w:val="22"/>
        </w:rPr>
        <w:t xml:space="preserve">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o ile nie zostaną przetworzone do postaci elektronicznej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>na okres niezbędny do ich wykorzystania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>od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lub otrzyma kopię tych dokumentów .</w:t>
      </w:r>
    </w:p>
    <w:p w14:paraId="7BB26F42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lastRenderedPageBreak/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076329C5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02462889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88DCB90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52C72B34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3DD15D35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74EAE0D3" w14:textId="77777777" w:rsidTr="002D10C6">
        <w:tc>
          <w:tcPr>
            <w:tcW w:w="567" w:type="dxa"/>
          </w:tcPr>
          <w:p w14:paraId="23F182A3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032D6C8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00A92B32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2E17C786" w14:textId="77777777" w:rsidTr="002D10C6">
        <w:tc>
          <w:tcPr>
            <w:tcW w:w="567" w:type="dxa"/>
          </w:tcPr>
          <w:p w14:paraId="71BFF04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7308D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275A4E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7BC02458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F4526" w14:textId="396C4BC6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>sokościowych oraz opracowywania</w:t>
            </w:r>
            <w:r w:rsidR="00ED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495">
              <w:rPr>
                <w:rFonts w:ascii="Arial" w:hAnsi="Arial" w:cs="Arial"/>
                <w:sz w:val="20"/>
                <w:szCs w:val="20"/>
              </w:rPr>
              <w:t>i przekazywania wyników tych pomiarów do państwowego zasobu geodezyjnego i kartograficznego.</w:t>
            </w:r>
          </w:p>
          <w:p w14:paraId="374C7BFA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C3CF001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D00319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7F139A6A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799F93AA" w14:textId="77777777" w:rsidTr="002D10C6">
        <w:tc>
          <w:tcPr>
            <w:tcW w:w="567" w:type="dxa"/>
          </w:tcPr>
          <w:p w14:paraId="614E32A0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900E4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A3D95B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4ED6708B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86156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AD5BE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5DD6A806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EF8CB65" w14:textId="0AA3CA9E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Digitalizacja ekranowa mapy zasadniczej lub innych map wielkoskalowych,</w:t>
            </w:r>
            <w:r w:rsidR="00ED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495">
              <w:rPr>
                <w:rFonts w:ascii="Arial" w:hAnsi="Arial" w:cs="Arial"/>
                <w:sz w:val="20"/>
                <w:szCs w:val="20"/>
              </w:rPr>
              <w:t>w przypadku gdy mapa ta prowadzona jest w postaci nieelektronicznej.</w:t>
            </w:r>
          </w:p>
        </w:tc>
      </w:tr>
    </w:tbl>
    <w:p w14:paraId="79F0E6E0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D624F9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553934" w14:textId="29F6FDB6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>V.    SZCZEGÓŁOWY</w:t>
      </w:r>
      <w:r w:rsidR="00ED00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D005E" w:rsidRPr="00221273">
        <w:rPr>
          <w:rFonts w:ascii="Arial" w:hAnsi="Arial" w:cs="Arial"/>
          <w:b/>
          <w:bCs/>
          <w:color w:val="auto"/>
          <w:sz w:val="22"/>
          <w:szCs w:val="22"/>
        </w:rPr>
        <w:t>ZAKRES</w:t>
      </w:r>
      <w:r w:rsidRPr="00ED005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REALIZACJI ZAMÓWIENIA  </w:t>
      </w:r>
    </w:p>
    <w:p w14:paraId="3B804413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42C071FB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6BE1854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45C389A7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7984ABCC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71BFB308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624438E8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6E4817FC" w14:textId="77777777" w:rsidR="002D10C6" w:rsidRPr="00FE1924" w:rsidRDefault="002D10C6" w:rsidP="00ED005E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5ECD1A7A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7D7DA4F1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582D9D9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6903CDB9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51F81590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3560099C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405D6669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5A2EA196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49F9D05B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0FBB1D3C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185D4909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4DC7A7A0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7F76784B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7EF1C6E9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1C68C79E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7ABEAC52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7FE5C144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2C345B18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6F977844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20EDACA9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59058EDC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454661FE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382A1F78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43062266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5D627ACB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260DB27C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768518BC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B12CE65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4B84DA53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42B86FB4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Wykonawca przetworzy pobrane i pozyskane materiały , w tym:</w:t>
      </w:r>
    </w:p>
    <w:p w14:paraId="38A22628" w14:textId="77777777" w:rsidR="005B7746" w:rsidRPr="00FD1242" w:rsidRDefault="005B7746" w:rsidP="00540A17">
      <w:pPr>
        <w:pStyle w:val="Akapitzlist"/>
        <w:numPr>
          <w:ilvl w:val="0"/>
          <w:numId w:val="9"/>
        </w:numPr>
        <w:spacing w:after="0" w:line="240" w:lineRule="auto"/>
        <w:ind w:left="714" w:hanging="430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zeskanuje, skalibruje, przetransformuje mapy</w:t>
      </w:r>
      <w:r w:rsidR="008F5437" w:rsidRPr="00FD1242">
        <w:rPr>
          <w:rFonts w:ascii="Arial" w:hAnsi="Arial" w:cs="Arial"/>
        </w:rPr>
        <w:t xml:space="preserve"> jednostkowe</w:t>
      </w:r>
      <w:r w:rsidRPr="00FD1242">
        <w:rPr>
          <w:rFonts w:ascii="Arial" w:hAnsi="Arial" w:cs="Arial"/>
        </w:rPr>
        <w:t xml:space="preserve"> w postaci </w:t>
      </w:r>
      <w:r w:rsidR="008F5437" w:rsidRPr="00FD1242">
        <w:rPr>
          <w:rFonts w:ascii="Arial" w:hAnsi="Arial" w:cs="Arial"/>
        </w:rPr>
        <w:t>elektronicznej/</w:t>
      </w:r>
      <w:r w:rsidRPr="00FD1242">
        <w:rPr>
          <w:rFonts w:ascii="Arial" w:hAnsi="Arial" w:cs="Arial"/>
        </w:rPr>
        <w:t>nieelektronicznej zgodnie z</w:t>
      </w:r>
      <w:r w:rsidR="005931FF">
        <w:rPr>
          <w:rFonts w:ascii="Arial" w:hAnsi="Arial" w:cs="Arial"/>
        </w:rPr>
        <w:t>e standardami obowiązującymi w tym zakresie</w:t>
      </w:r>
      <w:r w:rsidRPr="00FD1242">
        <w:rPr>
          <w:rFonts w:ascii="Arial" w:hAnsi="Arial" w:cs="Arial"/>
        </w:rPr>
        <w:t>.</w:t>
      </w:r>
    </w:p>
    <w:p w14:paraId="3F9E973C" w14:textId="77777777" w:rsidR="005B7746" w:rsidRPr="003E4CE4" w:rsidRDefault="005B7746" w:rsidP="00540A17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 xml:space="preserve">przetransformuje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421CB64F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628AC28C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00566A80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Do dokumentów, o których mowa powyżej należy zaliczyć w szczególności:</w:t>
      </w:r>
    </w:p>
    <w:p w14:paraId="0E406AB9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584AF3DA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protokoły narad koordynacyjnych</w:t>
      </w:r>
    </w:p>
    <w:p w14:paraId="4E79E6B1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3593E0F4" w14:textId="0C171BC2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pisemne informacje udostępnione </w:t>
      </w:r>
      <w:r w:rsidRPr="00221273">
        <w:rPr>
          <w:rFonts w:ascii="Arial" w:hAnsi="Arial" w:cs="Arial"/>
        </w:rPr>
        <w:t>prze</w:t>
      </w:r>
      <w:r w:rsidR="00FD1242" w:rsidRPr="00221273">
        <w:rPr>
          <w:rFonts w:ascii="Arial" w:hAnsi="Arial" w:cs="Arial"/>
        </w:rPr>
        <w:t xml:space="preserve">z </w:t>
      </w:r>
      <w:r w:rsidR="0019259F" w:rsidRPr="00221273">
        <w:rPr>
          <w:rFonts w:ascii="Arial" w:hAnsi="Arial" w:cs="Arial"/>
        </w:rPr>
        <w:t>Zamawiającego</w:t>
      </w:r>
      <w:r w:rsidR="00FD1242" w:rsidRPr="00221273">
        <w:rPr>
          <w:rFonts w:ascii="Arial" w:hAnsi="Arial" w:cs="Arial"/>
        </w:rPr>
        <w:t>,</w:t>
      </w:r>
      <w:r w:rsidR="00FD1242">
        <w:rPr>
          <w:rFonts w:ascii="Arial" w:hAnsi="Arial" w:cs="Arial"/>
        </w:rPr>
        <w:t xml:space="preserve">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0529C384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2E3E4E62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751DE9E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0AD62526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545BDCCC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63326E93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20C8EFE5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57A7ECA5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602E6894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6F6EF285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0E5AC2B8" w14:textId="56C9A549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="0019259F">
        <w:rPr>
          <w:rFonts w:ascii="Arial" w:hAnsi="Arial" w:cs="Arial"/>
        </w:rPr>
        <w:t>m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4AECBD9F" w14:textId="1C230476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="0019259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7733601D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08FB3332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27E7C5FB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01A2E63C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61673A2D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02FBAE5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5221D3BC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76C4A664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71303506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616F1A31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7E4CC31B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61E5E5EE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4BB2D6DE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26E9E2B5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75AB0E58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3E5248F2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75C532DE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293D6F61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34E6921D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0C802D04" w14:textId="6D90A92E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Obiekt oraz wartość identyfikatora IIP obiektów, jeżeli zostały nadane w systemie prowadzonym przez </w:t>
      </w:r>
      <w:r w:rsidR="003D2A45" w:rsidRPr="00221273">
        <w:rPr>
          <w:rFonts w:cstheme="minorHAnsi"/>
        </w:rPr>
        <w:t>Zamawiającego</w:t>
      </w:r>
      <w:r w:rsidRPr="0051432B">
        <w:rPr>
          <w:rFonts w:cstheme="minorHAnsi"/>
        </w:rPr>
        <w:t>);</w:t>
      </w:r>
    </w:p>
    <w:p w14:paraId="2C4BBB0F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705408A9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62DD2FE8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5A83C281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0BC9A5EF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1EF77D9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6AD5983F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1F3E8F9E" w14:textId="5D3507F0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>budynkami,</w:t>
      </w:r>
      <w:r w:rsidR="00722332">
        <w:rPr>
          <w:rFonts w:cstheme="minorHAnsi"/>
        </w:rPr>
        <w:t xml:space="preserve"> </w:t>
      </w:r>
      <w:r w:rsidRPr="0051432B">
        <w:rPr>
          <w:rFonts w:cstheme="minorHAnsi"/>
        </w:rPr>
        <w:t>a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</w:p>
    <w:p w14:paraId="3E185513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468487FA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656165FF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6492E238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71FD5E79" w14:textId="4A2158C1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="00722332">
        <w:rPr>
          <w:rFonts w:cstheme="minorHAnsi"/>
        </w:rPr>
        <w:t xml:space="preserve"> </w:t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201E49E3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45053BBE" w14:textId="7C56D09B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>ednoznacznej interpretacji treści rastrów mapy zasadniczej,</w:t>
      </w:r>
      <w:r w:rsidR="00722332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74D1BD4A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2D57B4D9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18C1B124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59B5706B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20A69782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320F1983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085294C7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63225621" w14:textId="1DF75B1D" w:rsidR="00D36B39" w:rsidRDefault="00D36B39" w:rsidP="00221273">
      <w:pPr>
        <w:tabs>
          <w:tab w:val="left" w:pos="2160"/>
        </w:tabs>
        <w:ind w:left="567"/>
        <w:rPr>
          <w:rFonts w:ascii="Arial" w:hAnsi="Arial" w:cs="Arial"/>
          <w:sz w:val="24"/>
          <w:szCs w:val="24"/>
        </w:rPr>
      </w:pPr>
    </w:p>
    <w:p w14:paraId="4EA152EE" w14:textId="77777777" w:rsidR="00221273" w:rsidRPr="00E73D52" w:rsidRDefault="00221273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</w:p>
    <w:p w14:paraId="374F26E6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lastRenderedPageBreak/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72942982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390945E8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33CB9B7D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2518EBD2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481B8FDC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646ACA14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046DB6D5" w14:textId="77777777" w:rsidTr="006829D0">
        <w:tc>
          <w:tcPr>
            <w:tcW w:w="1226" w:type="dxa"/>
          </w:tcPr>
          <w:p w14:paraId="6FD75554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15F38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0DEA9CD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29252219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9E00B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7A34B9FE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047B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85C672F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0BEF7442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BB6F4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B6AA92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1DBA8DAA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97885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69F13DE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66E10B4E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627B8C3F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38C02FB8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3FF36FB9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1E9CA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F42E591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5D25BD48" w14:textId="77777777" w:rsidTr="006829D0">
        <w:tc>
          <w:tcPr>
            <w:tcW w:w="1226" w:type="dxa"/>
          </w:tcPr>
          <w:p w14:paraId="000BC3FA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5E6A02F1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23FFCF71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27C5D4C7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6B80AF01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42C6BBF7" w14:textId="77777777" w:rsidR="0032517B" w:rsidRPr="009F1D5C" w:rsidRDefault="001D2EFE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F1D5C">
              <w:rPr>
                <w:rFonts w:ascii="Arial" w:hAnsi="Arial" w:cs="Arial"/>
                <w:b/>
                <w:szCs w:val="24"/>
              </w:rPr>
              <w:t>192</w:t>
            </w:r>
          </w:p>
        </w:tc>
      </w:tr>
    </w:tbl>
    <w:p w14:paraId="0BDB6919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7B5B93CF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426117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2493709F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47543F42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060B9A00" w14:textId="77777777" w:rsidR="00055A7F" w:rsidRPr="009F1D5C" w:rsidRDefault="00055A7F" w:rsidP="00F771B5">
      <w:pPr>
        <w:pStyle w:val="Bezodstpw"/>
      </w:pPr>
    </w:p>
    <w:p w14:paraId="061FAF5F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089779ED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362D253B" w14:textId="4879526D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>izacji osnowy szczegółowej .</w:t>
      </w:r>
      <w:r w:rsidR="007E2E70">
        <w:rPr>
          <w:rFonts w:ascii="Arial" w:hAnsi="Arial" w:cs="Arial"/>
        </w:rPr>
        <w:t xml:space="preserve"> </w:t>
      </w:r>
      <w:r w:rsidR="00CE0D19">
        <w:rPr>
          <w:rFonts w:ascii="Arial" w:hAnsi="Arial" w:cs="Arial"/>
        </w:rPr>
        <w:t xml:space="preserve">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7CFA21BF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22ED8A02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0DD43EAE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2275456C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07F4FA28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5C2D93AA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5B86D75E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5F011F97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4925DA04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4C29B673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7749424D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50816CB9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>użytków gruntowych na warstwach tekstowych i liniowych</w:t>
      </w:r>
    </w:p>
    <w:p w14:paraId="1034CCA7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549BD52B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794DBCCB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3650A059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4E243FB0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5FAC161B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67D8FB79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0A343FDB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11826172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51E0FE52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3F897A90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182FB9EF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79FCD492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7373E191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3FA173AF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2FDFCBBB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37977F87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4A043988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1F1FE7EE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261160EA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03BFC77B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6F545E52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12B3692D" w14:textId="715C0473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7E2E70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07D6A0B8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4FE05D41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6D66591B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0A75607D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540362AB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20ED09FF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40A5473D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1FAAD391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7783246F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7D19B074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</w:t>
      </w:r>
      <w:r w:rsidRPr="00DC18F3">
        <w:rPr>
          <w:rFonts w:ascii="Arial" w:hAnsi="Arial" w:cs="Arial"/>
        </w:rPr>
        <w:lastRenderedPageBreak/>
        <w:t xml:space="preserve">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przeprowadzona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5D935557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783DC68A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74F69776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331D8979" w14:textId="7990E300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Wykonawca doprowadzi do poprawności relacje obiektów ewidencyjnych z obiektami typu „Adres” i</w:t>
      </w:r>
      <w:r w:rsidR="009A357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„Ulica”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0F2FA753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3232CFC1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6258E638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0784DAA6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0EC4BFCA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CFE65AD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368F67A7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36884849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2549F176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20C106A6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2828CC6C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403714F7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1C2C1762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W przypadkach braku możliwości usunięcia rozbieżności należy opracować zestawienie rozbieżności . </w:t>
      </w:r>
    </w:p>
    <w:p w14:paraId="6289C14C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59C97160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200F57E1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07AB0AB7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47C6B5E5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2D3CDA80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12971ED8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4A86FCBD" w14:textId="53EF1435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 w:rsidR="009A3D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</w:p>
    <w:p w14:paraId="379AC84F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48035CE2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440F304E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15BCF0E3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0C71F20F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A5FE8C4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1C716D57" w14:textId="637F8C4E" w:rsidR="001C3EEE" w:rsidRPr="0022127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>, Wykonawca będzie inform</w:t>
      </w:r>
      <w:r w:rsidRPr="00221273">
        <w:rPr>
          <w:rFonts w:ascii="Arial" w:hAnsi="Arial" w:cs="Arial"/>
        </w:rPr>
        <w:t xml:space="preserve">owany przez </w:t>
      </w:r>
      <w:r w:rsidR="00061C97" w:rsidRPr="00221273">
        <w:rPr>
          <w:rFonts w:ascii="Arial" w:hAnsi="Arial" w:cs="Arial"/>
        </w:rPr>
        <w:t>Zamawiającego</w:t>
      </w:r>
      <w:r w:rsidRPr="00221273">
        <w:rPr>
          <w:rFonts w:ascii="Arial" w:hAnsi="Arial" w:cs="Arial"/>
        </w:rPr>
        <w:t xml:space="preserve"> na bieżąco oraz uzgodni z nim sposób  i termin ich udostępniania. </w:t>
      </w:r>
    </w:p>
    <w:p w14:paraId="467C56AE" w14:textId="66F34086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21273">
        <w:rPr>
          <w:rFonts w:ascii="Arial" w:hAnsi="Arial" w:cs="Arial"/>
        </w:rPr>
        <w:t xml:space="preserve">W okresie od zawarcia umowy do dnia zakończenia jej realizacji, Zamawiającemu przysługuje prawo do zlecenia Wykonawcy zadań, polegających na wprowadzeniu do systemu teleinformatycznego </w:t>
      </w:r>
      <w:r w:rsidR="00061C97" w:rsidRPr="00221273">
        <w:rPr>
          <w:rFonts w:ascii="Arial" w:hAnsi="Arial" w:cs="Arial"/>
        </w:rPr>
        <w:t>Zamawiającego</w:t>
      </w:r>
      <w:r w:rsidRPr="00221273">
        <w:rPr>
          <w:rFonts w:ascii="Arial" w:hAnsi="Arial" w:cs="Arial"/>
        </w:rPr>
        <w:t xml:space="preserve"> bazy GESUT</w:t>
      </w:r>
      <w:r w:rsidR="00F27005" w:rsidRPr="00221273">
        <w:rPr>
          <w:rFonts w:ascii="Arial" w:hAnsi="Arial" w:cs="Arial"/>
        </w:rPr>
        <w:t xml:space="preserve">, </w:t>
      </w:r>
      <w:proofErr w:type="spellStart"/>
      <w:r w:rsidR="00F27005" w:rsidRPr="00221273">
        <w:rPr>
          <w:rFonts w:ascii="Arial" w:hAnsi="Arial" w:cs="Arial"/>
        </w:rPr>
        <w:t>EGiB</w:t>
      </w:r>
      <w:proofErr w:type="spellEnd"/>
      <w:r w:rsidR="00F27005" w:rsidRPr="00221273">
        <w:rPr>
          <w:rFonts w:ascii="Arial" w:hAnsi="Arial" w:cs="Arial"/>
        </w:rPr>
        <w:t xml:space="preserve"> </w:t>
      </w:r>
      <w:r w:rsidRPr="00221273">
        <w:rPr>
          <w:rFonts w:ascii="Arial" w:hAnsi="Arial" w:cs="Arial"/>
        </w:rPr>
        <w:t xml:space="preserve">oraz bazy BDOT500 wyeksportowanych z roboczych baz danych </w:t>
      </w:r>
      <w:r w:rsidR="00932360" w:rsidRPr="00221273">
        <w:rPr>
          <w:rFonts w:ascii="Arial" w:hAnsi="Arial" w:cs="Arial"/>
        </w:rPr>
        <w:t xml:space="preserve">(FDB) </w:t>
      </w:r>
      <w:r w:rsidRPr="00221273">
        <w:rPr>
          <w:rFonts w:ascii="Arial" w:hAnsi="Arial" w:cs="Arial"/>
        </w:rPr>
        <w:t xml:space="preserve">Wykonawcy, wykorzystując do tego celu format GML lub inny format uzgodniony z </w:t>
      </w:r>
      <w:r w:rsidR="00061C97" w:rsidRPr="00221273">
        <w:rPr>
          <w:rFonts w:ascii="Arial" w:hAnsi="Arial" w:cs="Arial"/>
        </w:rPr>
        <w:t xml:space="preserve"> Zamawiającym</w:t>
      </w:r>
      <w:r w:rsidRPr="00221273">
        <w:rPr>
          <w:rFonts w:ascii="Arial" w:hAnsi="Arial" w:cs="Arial"/>
        </w:rPr>
        <w:t>,</w:t>
      </w:r>
      <w:r w:rsidRPr="00DC18F3">
        <w:rPr>
          <w:rFonts w:ascii="Arial" w:hAnsi="Arial" w:cs="Arial"/>
        </w:rPr>
        <w:t xml:space="preserve"> przy czym Zamawiający każdorazowo przekaże pisemnie Wykonawcy informację na temat uruchomienia opcji. Zamawiający zastrzega sobie prawo do nieskorzystania z opcji. </w:t>
      </w:r>
    </w:p>
    <w:p w14:paraId="2B163445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0DDFF37E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638CD3A1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2C9FC3CC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082729B4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61778188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dokumenty zawierające wyniki przeprowadzonych przez Wykonawcę analiz oraz kontroli wewnętrznej, w tym pomiarów kontrolnych; </w:t>
      </w:r>
    </w:p>
    <w:p w14:paraId="40B11F83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kopie dokumentów pozyskanych przez Wykonawcę od osób trzecich i wykorzystanych do realizacji przedmiotu zamówienia</w:t>
      </w:r>
    </w:p>
    <w:p w14:paraId="6612CE03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>inne dokumenty wymienione w OPZ.</w:t>
      </w:r>
    </w:p>
    <w:p w14:paraId="7A7638BB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46B5080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Wykonawca jest zobowiązany do uwzględnienia zmian przepisów prawa, które wejdą w życie w trakcie wykonywania prac. </w:t>
      </w:r>
    </w:p>
    <w:p w14:paraId="43FC0E00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14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37B1E520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3EAFCF45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79AF7150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</w:t>
      </w:r>
      <w:proofErr w:type="spellStart"/>
      <w:r w:rsidR="001F2A2B" w:rsidRPr="006E7D8C">
        <w:rPr>
          <w:rFonts w:ascii="Arial" w:hAnsi="Arial" w:cs="Arial"/>
          <w:sz w:val="20"/>
          <w:szCs w:val="20"/>
        </w:rPr>
        <w:t>Sadura</w:t>
      </w:r>
      <w:proofErr w:type="spellEnd"/>
    </w:p>
    <w:p w14:paraId="5A9B15CD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0AA0508A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433E634C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0D57" w14:textId="77777777" w:rsidR="00542D6B" w:rsidRDefault="00542D6B" w:rsidP="004632B1">
      <w:pPr>
        <w:spacing w:after="0" w:line="240" w:lineRule="auto"/>
      </w:pPr>
      <w:r>
        <w:separator/>
      </w:r>
    </w:p>
  </w:endnote>
  <w:endnote w:type="continuationSeparator" w:id="0">
    <w:p w14:paraId="69429630" w14:textId="77777777" w:rsidR="00542D6B" w:rsidRDefault="00542D6B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E62" w14:textId="77777777" w:rsidR="000833B2" w:rsidRDefault="00083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D6A9" w14:textId="77777777" w:rsidR="000833B2" w:rsidRDefault="000833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454A" w14:textId="77777777" w:rsidR="000833B2" w:rsidRDefault="00083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29EF" w14:textId="77777777" w:rsidR="00542D6B" w:rsidRDefault="00542D6B" w:rsidP="004632B1">
      <w:pPr>
        <w:spacing w:after="0" w:line="240" w:lineRule="auto"/>
      </w:pPr>
      <w:r>
        <w:separator/>
      </w:r>
    </w:p>
  </w:footnote>
  <w:footnote w:type="continuationSeparator" w:id="0">
    <w:p w14:paraId="1B8C7B8F" w14:textId="77777777" w:rsidR="00542D6B" w:rsidRDefault="00542D6B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56A1" w14:textId="77777777" w:rsidR="000833B2" w:rsidRDefault="00083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BDF4" w14:textId="77777777" w:rsidR="000833B2" w:rsidRDefault="00083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3C4E" w14:textId="77777777" w:rsidR="00A359A5" w:rsidRPr="00A359A5" w:rsidRDefault="00A359A5" w:rsidP="00A359A5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4 </w:t>
    </w:r>
  </w:p>
  <w:p w14:paraId="1611D20B" w14:textId="77777777" w:rsidR="000833B2" w:rsidRPr="000833B2" w:rsidRDefault="00A359A5" w:rsidP="000833B2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A359A5">
      <w:rPr>
        <w:rFonts w:asciiTheme="majorHAnsi" w:hAnsiTheme="majorHAnsi" w:cstheme="majorHAnsi"/>
        <w:i/>
        <w:iCs/>
        <w:sz w:val="18"/>
        <w:szCs w:val="18"/>
      </w:rPr>
      <w:t xml:space="preserve">do </w:t>
    </w:r>
    <w:r w:rsidRPr="000833B2">
      <w:rPr>
        <w:rFonts w:asciiTheme="majorHAnsi" w:hAnsiTheme="majorHAnsi" w:cstheme="majorHAnsi"/>
        <w:i/>
        <w:iCs/>
        <w:sz w:val="18"/>
        <w:szCs w:val="18"/>
      </w:rPr>
      <w:t>zamówienia „</w:t>
    </w:r>
    <w:r w:rsidR="000833B2"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44B3A3C6" w14:textId="77777777" w:rsidR="000833B2" w:rsidRPr="000833B2" w:rsidRDefault="000833B2" w:rsidP="000833B2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 </w:t>
    </w:r>
  </w:p>
  <w:p w14:paraId="31B9E899" w14:textId="3A9EAA1D" w:rsidR="00A359A5" w:rsidRPr="00A359A5" w:rsidRDefault="00A359A5" w:rsidP="00A359A5">
    <w:pPr>
      <w:spacing w:after="120" w:line="360" w:lineRule="auto"/>
      <w:jc w:val="right"/>
      <w:rPr>
        <w:rFonts w:asciiTheme="majorHAnsi" w:hAnsiTheme="majorHAnsi" w:cstheme="majorHAnsi"/>
        <w:i/>
        <w:iCs/>
        <w:sz w:val="18"/>
        <w:szCs w:val="18"/>
      </w:rPr>
    </w:pP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  <w:p w14:paraId="209E115C" w14:textId="441D0D53" w:rsidR="00A359A5" w:rsidRDefault="00A359A5">
    <w:pPr>
      <w:pStyle w:val="Nagwek"/>
    </w:pPr>
  </w:p>
  <w:p w14:paraId="5EB0D968" w14:textId="77777777" w:rsidR="00F904B1" w:rsidRDefault="00F90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81025">
    <w:abstractNumId w:val="32"/>
  </w:num>
  <w:num w:numId="2" w16cid:durableId="1820071767">
    <w:abstractNumId w:val="24"/>
  </w:num>
  <w:num w:numId="3" w16cid:durableId="1028985713">
    <w:abstractNumId w:val="29"/>
  </w:num>
  <w:num w:numId="4" w16cid:durableId="66733052">
    <w:abstractNumId w:val="21"/>
  </w:num>
  <w:num w:numId="5" w16cid:durableId="1686438210">
    <w:abstractNumId w:val="15"/>
  </w:num>
  <w:num w:numId="6" w16cid:durableId="1534155238">
    <w:abstractNumId w:val="7"/>
  </w:num>
  <w:num w:numId="7" w16cid:durableId="1995210104">
    <w:abstractNumId w:val="25"/>
  </w:num>
  <w:num w:numId="8" w16cid:durableId="192765036">
    <w:abstractNumId w:val="38"/>
  </w:num>
  <w:num w:numId="9" w16cid:durableId="379524749">
    <w:abstractNumId w:val="40"/>
  </w:num>
  <w:num w:numId="10" w16cid:durableId="1430740801">
    <w:abstractNumId w:val="39"/>
  </w:num>
  <w:num w:numId="11" w16cid:durableId="1298071911">
    <w:abstractNumId w:val="31"/>
  </w:num>
  <w:num w:numId="12" w16cid:durableId="1455248722">
    <w:abstractNumId w:val="10"/>
  </w:num>
  <w:num w:numId="13" w16cid:durableId="764032482">
    <w:abstractNumId w:val="18"/>
  </w:num>
  <w:num w:numId="14" w16cid:durableId="1773088875">
    <w:abstractNumId w:val="35"/>
  </w:num>
  <w:num w:numId="15" w16cid:durableId="1314211801">
    <w:abstractNumId w:val="34"/>
  </w:num>
  <w:num w:numId="16" w16cid:durableId="1590232899">
    <w:abstractNumId w:val="13"/>
  </w:num>
  <w:num w:numId="17" w16cid:durableId="1430084817">
    <w:abstractNumId w:val="27"/>
  </w:num>
  <w:num w:numId="18" w16cid:durableId="1371344275">
    <w:abstractNumId w:val="11"/>
  </w:num>
  <w:num w:numId="19" w16cid:durableId="764806256">
    <w:abstractNumId w:val="3"/>
  </w:num>
  <w:num w:numId="20" w16cid:durableId="1090152599">
    <w:abstractNumId w:val="28"/>
  </w:num>
  <w:num w:numId="21" w16cid:durableId="1178152365">
    <w:abstractNumId w:val="16"/>
  </w:num>
  <w:num w:numId="22" w16cid:durableId="1801266683">
    <w:abstractNumId w:val="2"/>
  </w:num>
  <w:num w:numId="23" w16cid:durableId="1962027732">
    <w:abstractNumId w:val="22"/>
  </w:num>
  <w:num w:numId="24" w16cid:durableId="1079788815">
    <w:abstractNumId w:val="23"/>
  </w:num>
  <w:num w:numId="25" w16cid:durableId="1691057849">
    <w:abstractNumId w:val="19"/>
  </w:num>
  <w:num w:numId="26" w16cid:durableId="1138958771">
    <w:abstractNumId w:val="30"/>
  </w:num>
  <w:num w:numId="27" w16cid:durableId="613561374">
    <w:abstractNumId w:val="33"/>
  </w:num>
  <w:num w:numId="28" w16cid:durableId="90207543">
    <w:abstractNumId w:val="5"/>
  </w:num>
  <w:num w:numId="29" w16cid:durableId="1440487046">
    <w:abstractNumId w:val="36"/>
  </w:num>
  <w:num w:numId="30" w16cid:durableId="1850560160">
    <w:abstractNumId w:val="17"/>
  </w:num>
  <w:num w:numId="31" w16cid:durableId="296764500">
    <w:abstractNumId w:val="6"/>
  </w:num>
  <w:num w:numId="32" w16cid:durableId="396515272">
    <w:abstractNumId w:val="0"/>
  </w:num>
  <w:num w:numId="33" w16cid:durableId="1265920944">
    <w:abstractNumId w:val="20"/>
  </w:num>
  <w:num w:numId="34" w16cid:durableId="790442998">
    <w:abstractNumId w:val="8"/>
  </w:num>
  <w:num w:numId="35" w16cid:durableId="2032873862">
    <w:abstractNumId w:val="37"/>
  </w:num>
  <w:num w:numId="36" w16cid:durableId="27141763">
    <w:abstractNumId w:val="9"/>
  </w:num>
  <w:num w:numId="37" w16cid:durableId="1609313703">
    <w:abstractNumId w:val="14"/>
  </w:num>
  <w:num w:numId="38" w16cid:durableId="401829020">
    <w:abstractNumId w:val="26"/>
  </w:num>
  <w:num w:numId="39" w16cid:durableId="1888879401">
    <w:abstractNumId w:val="4"/>
  </w:num>
  <w:num w:numId="40" w16cid:durableId="606085063">
    <w:abstractNumId w:val="1"/>
  </w:num>
  <w:num w:numId="41" w16cid:durableId="201047573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61C97"/>
    <w:rsid w:val="00070869"/>
    <w:rsid w:val="00070F31"/>
    <w:rsid w:val="00076B9B"/>
    <w:rsid w:val="000833B2"/>
    <w:rsid w:val="00086ED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A4A"/>
    <w:rsid w:val="00175557"/>
    <w:rsid w:val="001772D5"/>
    <w:rsid w:val="001802D6"/>
    <w:rsid w:val="00185C07"/>
    <w:rsid w:val="00186803"/>
    <w:rsid w:val="001908A9"/>
    <w:rsid w:val="0019238D"/>
    <w:rsid w:val="0019259F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1273"/>
    <w:rsid w:val="00226A28"/>
    <w:rsid w:val="00230078"/>
    <w:rsid w:val="00241AA7"/>
    <w:rsid w:val="0024216C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288D"/>
    <w:rsid w:val="002F31F5"/>
    <w:rsid w:val="002F735E"/>
    <w:rsid w:val="00301DA1"/>
    <w:rsid w:val="00302369"/>
    <w:rsid w:val="003077B5"/>
    <w:rsid w:val="00320F69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2A45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21645"/>
    <w:rsid w:val="005336DB"/>
    <w:rsid w:val="0053750B"/>
    <w:rsid w:val="00540A17"/>
    <w:rsid w:val="00542025"/>
    <w:rsid w:val="00542D6B"/>
    <w:rsid w:val="005444D6"/>
    <w:rsid w:val="00551160"/>
    <w:rsid w:val="00554719"/>
    <w:rsid w:val="00554BA2"/>
    <w:rsid w:val="00560755"/>
    <w:rsid w:val="005610E3"/>
    <w:rsid w:val="005621AC"/>
    <w:rsid w:val="00563FE9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700619"/>
    <w:rsid w:val="0071001B"/>
    <w:rsid w:val="00720D62"/>
    <w:rsid w:val="0072233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2E70"/>
    <w:rsid w:val="007E61B5"/>
    <w:rsid w:val="007E6777"/>
    <w:rsid w:val="007F2C52"/>
    <w:rsid w:val="0080272B"/>
    <w:rsid w:val="00804B9C"/>
    <w:rsid w:val="008050C4"/>
    <w:rsid w:val="008127A5"/>
    <w:rsid w:val="0082024C"/>
    <w:rsid w:val="00820731"/>
    <w:rsid w:val="00820754"/>
    <w:rsid w:val="00833C93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9462E"/>
    <w:rsid w:val="0089537D"/>
    <w:rsid w:val="008A58A1"/>
    <w:rsid w:val="008A5DE4"/>
    <w:rsid w:val="008A722A"/>
    <w:rsid w:val="008A7B77"/>
    <w:rsid w:val="008B6AC0"/>
    <w:rsid w:val="008D072A"/>
    <w:rsid w:val="008D2CC7"/>
    <w:rsid w:val="008E0140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57F"/>
    <w:rsid w:val="009A3900"/>
    <w:rsid w:val="009A3D32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59A5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74B5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47F98"/>
    <w:rsid w:val="00C508CE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32B9"/>
    <w:rsid w:val="00D15545"/>
    <w:rsid w:val="00D223F7"/>
    <w:rsid w:val="00D335A7"/>
    <w:rsid w:val="00D36B39"/>
    <w:rsid w:val="00D43EAC"/>
    <w:rsid w:val="00D44DD9"/>
    <w:rsid w:val="00D55304"/>
    <w:rsid w:val="00D56552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005E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51892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00F8-A102-4D53-BA81-5C8DD1B9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15</Pages>
  <Words>5960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7</cp:revision>
  <cp:lastPrinted>2019-02-21T15:03:00Z</cp:lastPrinted>
  <dcterms:created xsi:type="dcterms:W3CDTF">2022-08-08T05:41:00Z</dcterms:created>
  <dcterms:modified xsi:type="dcterms:W3CDTF">2022-08-10T12:07:00Z</dcterms:modified>
</cp:coreProperties>
</file>